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3EA" w:rsidRDefault="008819B5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1E13EA" w:rsidRDefault="008819B5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1E13EA" w:rsidRDefault="008819B5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1E13EA" w:rsidRDefault="008819B5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1E13EA" w:rsidRDefault="008819B5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Ю.И. Биктуганов</w:t>
      </w:r>
    </w:p>
    <w:p w:rsidR="001E13EA" w:rsidRDefault="008819B5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29.12.2020</w:t>
      </w:r>
    </w:p>
    <w:p w:rsidR="001E13EA" w:rsidRDefault="001E13EA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E13EA" w:rsidRDefault="001E13EA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E13EA" w:rsidRDefault="008819B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1E13EA" w:rsidRDefault="008819B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молодежной политики </w:t>
      </w: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1E13EA" w:rsidRDefault="008819B5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январь 2021 года</w:t>
      </w:r>
    </w:p>
    <w:p w:rsidR="001E13EA" w:rsidRDefault="001E13EA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1E13EA" w:rsidRDefault="001E13EA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32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8"/>
        <w:gridCol w:w="2040"/>
        <w:gridCol w:w="2604"/>
      </w:tblGrid>
      <w:tr w:rsidR="001E13EA">
        <w:tblPrEx>
          <w:tblCellMar>
            <w:top w:w="0" w:type="dxa"/>
            <w:bottom w:w="0" w:type="dxa"/>
          </w:tblCellMar>
        </w:tblPrEx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1E13EA" w:rsidRDefault="001E13EA">
      <w:pPr>
        <w:pStyle w:val="Textbody"/>
        <w:rPr>
          <w:rFonts w:ascii="Liberation Serif" w:hAnsi="Liberation Serif" w:cs="Liberation Serif"/>
          <w:sz w:val="6"/>
          <w:szCs w:val="6"/>
        </w:rPr>
      </w:pPr>
    </w:p>
    <w:tbl>
      <w:tblPr>
        <w:tblW w:w="15132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7"/>
        <w:gridCol w:w="2061"/>
        <w:gridCol w:w="2604"/>
      </w:tblGrid>
      <w:tr w:rsidR="001E13EA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«Об утверждении распределения межбюджетных трансфертов из областного бюджета бюджетам муниципальных районов (городских округов) на обеспечение дополнительных гарантий по социальной поддержке детей-сирот и детей, оставшихся без попечени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обучающихся в муниципальных образовательных организациях муниципальных районов (городских округ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ов), расположенных на территории Свердловской области, в 2021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«Об утверждении нормативов потребности в учреждениях по работе с молодежью в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</w:t>
            </w:r>
          </w:p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личные приемы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(Министерство образования и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молодежной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политики Свердловской области, каб. 309,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shd w:val="clear" w:color="auto" w:fill="FFFFFF"/>
              <w:ind w:right="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Консультации («горячая» телефонная линия) по вопросам аттестации педагогических работников организаций, осуществляющих образовательную деятельность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области </w:t>
            </w:r>
          </w:p>
          <w:p w:rsidR="001E13EA" w:rsidRDefault="008819B5">
            <w:pPr>
              <w:shd w:val="clear" w:color="auto" w:fill="FFFFFF"/>
              <w:ind w:right="30"/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(по телефону: 312- 00-04 (доб. 092))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shd w:val="clear" w:color="auto" w:fill="FFFFFF"/>
              <w:ind w:right="30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режиме 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центров психолого-педагогической, медицинской и социальной помощи, организаций для детей-сирот и детей, оставшихся без попечения родителей, общеобразовательных организаций для детей, нуждающихся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длительном лечении</w:t>
            </w:r>
          </w:p>
          <w:p w:rsidR="001E13EA" w:rsidRDefault="008819B5">
            <w:pPr>
              <w:shd w:val="clear" w:color="auto" w:fill="FFFFFF"/>
              <w:ind w:right="30"/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shd w:val="clear" w:color="auto" w:fill="FFFFFF"/>
              <w:tabs>
                <w:tab w:val="left" w:pos="720"/>
              </w:tabs>
              <w:ind w:right="3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shd w:val="clear" w:color="auto" w:fill="FFFFFF"/>
              <w:tabs>
                <w:tab w:val="left" w:pos="720"/>
              </w:tabs>
              <w:ind w:right="3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</w:p>
          <w:p w:rsidR="001E13EA" w:rsidRDefault="008819B5">
            <w:pPr>
              <w:shd w:val="clear" w:color="auto" w:fill="FFFFFF"/>
              <w:tabs>
                <w:tab w:val="left" w:pos="720"/>
              </w:tabs>
              <w:ind w:right="3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shd w:val="clear" w:color="auto" w:fill="FFFFFF"/>
              <w:tabs>
                <w:tab w:val="left" w:pos="720"/>
              </w:tabs>
              <w:ind w:right="3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форме вебинара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14.00–15.30)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(Горноуральский городской округ)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(«горячая» телефонная линия (343) 312-00-0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4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(доб. 170, 171, 172, 173, 174, 175, 177)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20, 27.01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  <w:p w:rsidR="001E13EA" w:rsidRDefault="001E13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в Правительстве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 ул. Розы Люксембург, д. 7, 2 подъезд, каб. 101,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режиме видео-конференц-связи с руководителями органов местного самоуправления, осуществ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ляющих управление в сфере образования, государственных, частных образовательных организаций о ходе подготовки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 государственной итоговой аттестации по образовательным программам основного общего и среднего общего образования в 2021 году (о заполнении регио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нальной базы данных)</w:t>
            </w:r>
          </w:p>
          <w:p w:rsidR="001E13EA" w:rsidRDefault="008819B5">
            <w:pPr>
              <w:ind w:left="5738"/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Семинар-совещание в режиме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видео-конференц-связи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 итогам консультационных сессий по развитию муниципальных систем оценки качества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</w:t>
            </w:r>
          </w:p>
          <w:p w:rsidR="001E13EA" w:rsidRDefault="001E13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(ГАУО ДПО СО «ИРО»)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690"/>
                <w:tab w:val="center" w:pos="1032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Н.В. Журавлева, 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Т.Н. Умнова,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с руководителями органов местного самоуправления, осуществляющих управление в сфере образования, руководителями учреждений отдыха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их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оздоровления по подготовке к летней оздоровительной кампании 2021 года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 11.00–13.00)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Совещание в режиме видео-конференц-связи с руководителями органов местного самоуправления,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осуществляющих управление в сфере образования, государственных, частных образовательных организаций о проведении итогового собеседования, о ходе подготовки к государственной итоговой аттестации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образовательным программам основного общего образования в 2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021 году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режиме видео-конференц-связи с руководителями органов местного самоуправления, осуществляющих управление в сфере образования,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вопросу планирования комплектования образовательных организаций, реализующих образовательные программы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общего образования, на 2021/2022 учебный год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режиме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видео-конференц-связи с муниципальными образованиями, расположенными на территории Свердловской области, по вопросам молодежной политики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режиме видео-конференц-связи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руководителями органов местн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ого самоуправления, осуществляющих управление в сфере образования, по актуальным вопросам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(на период действия ограничительных мер)</w:t>
            </w:r>
          </w:p>
          <w:p w:rsidR="001E13EA" w:rsidRDefault="001E13EA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1E13EA" w:rsidRDefault="001E13EA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1E13EA" w:rsidRDefault="001E13EA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09.00–10.00)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понедель-никам)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образовательных организаций, подведомственных Министерству, и органов местного самоуправления, осуществляющих управление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Горячая линия по вопросам приема в 1-й класс на 2021/2022 учебный год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3. Заседания комиссий, рабочих групп, советов, организационных комитетов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Рабочих групп Государственной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экзаменационной комиссии Свердловской области</w:t>
            </w:r>
          </w:p>
          <w:p w:rsidR="001E13EA" w:rsidRDefault="001E13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08.30–09.30, 5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14, 21.01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Аккредитационного совета Министерства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комиссии Министерства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424, 339а, 10.00–13.00, 20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1E13EA" w:rsidRDefault="001E13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1E13EA" w:rsidRDefault="001E13EA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15.00–16.00, 20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Общеобластного родительского комитета в режиме видео-конференц-связи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«О результатах независимой оценки качества условий осуществления образовательной деятельности организациями, осуществляющими образовательную деятельность, распо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ложенными на территории Свердловской области, в 2020 году»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18.00,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Н.В. Журавлева, 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Т.Н. Умнова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аттестации кандидатов на должность руководителя и руководителей государственных образовательных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организаций Свердловской области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1E13EA" w:rsidRDefault="008819B5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комиссии Министерства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11.00–12.00, 25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26.01</w:t>
            </w:r>
          </w:p>
          <w:p w:rsidR="001E13EA" w:rsidRDefault="001E13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противодействию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коррупции</w:t>
            </w:r>
          </w:p>
          <w:p w:rsidR="001E13EA" w:rsidRDefault="001E13EA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1E13EA" w:rsidRDefault="001E13EA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15.00–16.30)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27.01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Ю.И. Биктуганов,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В.В. Пьянков,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члены комиссии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 Министерства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11.00–12.00)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Совета стратегического развития Министерства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303)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до 2025 года»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303)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подготовке и проведению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направленности, в 2021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вопросу подготовки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дорожной карты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2021 год</w:t>
            </w:r>
          </w:p>
          <w:p w:rsidR="001E13EA" w:rsidRDefault="008819B5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r>
              <w:rPr>
                <w:rFonts w:ascii="Liberation Serif" w:hAnsi="Liberation Serif" w:cs="Liberation Serif"/>
                <w:spacing w:val="-6"/>
                <w:sz w:val="28"/>
                <w:szCs w:val="28"/>
              </w:rPr>
              <w:t xml:space="preserve">Регионального ведомственного проектного офиса при Министерстве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организации и проведению IX открытого регионального чемпионата «Молодые профессионалы» (Ворлдскиллс Р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оссия) Свердловской области</w:t>
            </w:r>
          </w:p>
          <w:p w:rsidR="001E13EA" w:rsidRDefault="001E13EA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Е.Н. Коваленко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>Комиссии по отбору делегатов от Свердловской области на мероприятия Всероссийской форумной кампании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 xml:space="preserve">Рабочей 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группы по подготовке кадров для малого и среднего предпринимательства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 xml:space="preserve">Организационного комитета по организации проведения IX Открытого регионального чемпионата «Молодые профессионалы» (Ворлдскиллс 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Россия)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Организационного комитета межведомственного социально-педагогического проекта «Будь здоров!»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и ведению реестра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организаций отдыха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их оздоровления, расположенных на территории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оценке последствий принятия решения о реконструкции,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закрепленного на соответствующем вещном праве за государственной организацией Свердловской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области, находящейся в ведении Министерства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организации отбора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территории Свердловской области, предоставления и контроля за расходованием субсидий и иных межбюджетных трансфертов из областного бюджета местным бюджетам, предоставляемых в рамках мероприятий государственной программы Свердловской области «Развитие систе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мы образования и реализация молодежной политики в Свердловской области до 2025 года», ответственными за реализацию которых определены курируемые Заместителем Министра образования и молодежной политики Свердловской области структурные подразделения Министер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ства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объемов государственных заданий для государственных учреждений Свердловской области, подведомственных Министерству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День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студента 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22.01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О.В. Гущин,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М.А. Карабут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Церемония вручения премий Губернатора Свердловской области педагогическим работникам из числа профессорско-преподавательского состава образовательных организаций высшего образования, расположе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нных на территории Свердловской области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(резиденция Губернатора Свердловской области, 15.00–16.30)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Встреча с выпускниками 9-х и 11-х классов по вопросам проведения государственной итоговой аттестации по образовательным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программам основного общего и среднего общего образования в 2021 году (в режиме видео-конференц-связи)</w:t>
            </w:r>
          </w:p>
          <w:p w:rsidR="001E13EA" w:rsidRDefault="008819B5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1365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Всероссийской олимпиады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профессионального мастерства среди студентов, обучающихся по программам среднего профессионального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Тематические встречи в рамках регионального этапа Всероссийского проекта «Диал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оги с Героями»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Региональный этап всероссийской олимпиады школьников 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графику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Цикл вебинаров по вопросам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психолого-педагогического сопровождения детей-инвалидов</w:t>
            </w:r>
          </w:p>
          <w:p w:rsidR="001E13EA" w:rsidRDefault="008819B5">
            <w:pPr>
              <w:pStyle w:val="Standard"/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 «Ресурс»)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Цикл вебинаров по вопросам психолого-педагогического сопровождения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их семей</w:t>
            </w:r>
          </w:p>
          <w:p w:rsidR="001E13EA" w:rsidRDefault="008819B5">
            <w:pPr>
              <w:pStyle w:val="Standard"/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(ГБУ СО «Центр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«Ладо»)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5. Мероприятия по реализации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за 2020 год по реализации мероприятий государственной программы Российской Федерации «Доступная среда» и комплексной программы Свердловской области «Доступная среда» в Министерство социальной политики Свердловской области и Министерств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просвещения Российской Федерации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Соглашения от 20.12.2019 № 073-09-2020-674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 предоставлении субсидии из федерального бюджета бюджету Свердловской области на повышение качества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субъектах Российской Федерации в рамках государственной програ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ммы Российской Федерации «Развитие образования»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Соглашения от 19.12.2019 № 073-09-2020-651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предоставлении субсидии из федерального бюджета бюджету Свердловс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кой области на развитие кадрового потенциала педагогов по вопросам изучения русского языка в рамках государственной программы Российской Федерации «Развитие образования» по итогам 2020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Экспертиза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отчетности муниципальных образований, расположенных на территории Свердловской области, за 2020 год в рамках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субсидий из областного бюджета местным бюджетам на обеспечение мероприятий по оборудованию спортивных площадок в общеобразовательных организациях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Экспертиза отчетности муниципальных образований, расположенных на территории Свердловской области, за 2020 год в рамках субсидий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 обеспечение условий реализации муниципальными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образовательными организациями в Свердловской области образовательных программ естественно-научного цикла и профориентационной работы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Экспертиза отчетности муниципальных образований, расположенных на территории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, за 2020 год в рамках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субсидий из областного бюджета местным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Экспертиз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 отчетности муниципальных образований, расположенных на территории Свердловской области, за 2020 год о реализации мероприятия «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Создание (обновление) материально-технической базы для реализации основных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и дополнительных общеобразовательных программ цифрово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го и гуманитарного профилей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 органами местного самоуправления муниципальных образований, расположенных 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соглашений о предоставлении в 2023 году субсидий из областного бюджета местным бюджетам на создание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 органами местного самоуправления муниципальных образований, расположенных на территории Свердловской области, дополнительных соглашений к соглашениям о предоставлении и использовании в 2020–2022 годах субсидий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областного бюд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жета местным бюджетам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lastRenderedPageBreak/>
              <w:t>Подготовка проекта приказа Министерства «О реализации мероп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риятия «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Создание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 обеспечение функционирования центров образования естественно-научной</w:t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и технологической направленностей в общеобразовательных организациях, расположенных в сельской местности и малых городах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» подпрограммы 7 «Реализация национального проек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та «Образование»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2025 года», утвержденной постановлением Правительства Свердловской области от 1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9.12.2019 № 920-ПП,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2021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приказа Министерства «О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года» в 2021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за 2020 год о реализации государственной программы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проектов приказов Министерства в рамках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 подпрограммы 7 «Реализация национального прое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кта «Образование»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Экспертиза отчетно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сти муниципальных образований, расположенных на территории Свердловской области, за 2020 год в рамках субсидий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 создание современной образовательной среды для школьников в рамках программы «Содействие созданию в суб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ъектах Российской Федерации (исходя из прогнозируемой потребности) новых мест в общеобразовательных организациях» на 2016–2025 годы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Мероприятия по обеспечению оформления и расходования грантов юридическими лицами,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полученными из федерального бюджета в 2021 году на развитие материально-технической базы профессиональных образовательных организаций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организации отдыха детей в каникуля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рное время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о предоставлении субвенций из областного бюджета местным бюджетам на осуществление переданн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ых органам местного самоуправления муниципальных образований, расположенных на территории Свердловской области, государственных полномочий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организации и обеспечению отдыха и оздоровления детей (за исключением детей сирот, и детей,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1E13EA" w:rsidRDefault="001E13EA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соглашения с Фондом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«Золотое сечение» о предоставлении субсидии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проведение проектных смен для обучающихся, проявивших выдающиеся способности,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Организация мониторинга исполнения 100% доступности дошко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льного образования для детей с 2 месяцев до 3 лет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стратегическому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развитию и национальным проектам от 18.03.2019 № 3 по вопросу «О ходе реализации национального проекта «Демография»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реализации подпрограммы 4 «Патриотическое воспитание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граждан и формирование основ безопасности обучающихся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2025 года» (мероприятие «Организация патр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иотического воспитания граждан, проведения областных, общероссийских, международных мероприятий и участие представителей Свердловской области в общероссийских и международных мероприятиях»)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Прием информации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органов местного самоуправления, осуществляющих управление в сфере образования, об использовании средств субвенций, субсидий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иных межбюджетных трансфертов в 2020 году, формирование отчетов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установленным формам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Анализ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отчетов муниципальных образований, расположенных на территории Свердловской области, о выполнении критериев соглашений о предоставлении субвенций на оплату труда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отдельных форм финансовой отчетности образоват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ельных организаций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 2020 год, анализ исполнения бюджета, финансово-хозяйственной деятельности образовательных организаций по итогам 2020 года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нормативной базы по формированию объемов субсидий на выполнение госуда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рственного задания (приказы о методике формирования нормативов финансового обеспечения, нормативов финансирования)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Заключение соглашений на предоставление межбюджетных трансфертов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из областного бюджета муниципальным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образованиям, расположенным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Утверждение и доведение до казенных образовательных организаций бюджетных смет на 2021 год, до бюджетных и автономных образовательных организаций – объемов субсиди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й на выполнение государственного задания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и дополнительных соглашений на предоставление субсидии на иные цели в подсисте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 «Электронный бюджет» с автономными и бюджетными образовательными организациями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о предоставлении иных межбюджетных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трансфертов на выплату ежемесячного денежного вознаграждения за классное руководство педагогическим работникам, субсидий по организации бесплатного горячего питания обучающихся, получающих начальное общее образование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образовательных организ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ациях, в подсистеме «Электронный бюджет»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 по направлениям расходования на выплату ежемесячного денежного вознаграждения за классное руководство педагогическим работникам и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организациях, расположенных на территории Свердловской обл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асти, за счет иных межбюджетных трансфертов из федерального бюджета муниципальным образованиям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ежеквартальной, ежемесячной отчетности по направлениям расходования на выплату ежемесячного денежного вознаграждения за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классное руководство педагогическим работникам и на 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зациях, расположенных на территории Свердловской области, в подсистеме «Электронный бюджет» и в программном комплексе «Информационная система управления финансами» НПО «Сапфир»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проведения конкурса по предоставлению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из областного бюджета субсидий социально ориентированным некоммерческим организациям, реализующим проекты (программы, мероприятия) в сфере образования и молодежной политики Свердловской области,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беспечение предоставления из областного бюджета грантов в форме субсидий юридическим лицам и индивидуальным предпринимателям на реализацию мероприятий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тов (программ)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widowControl w:val="0"/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годового отчета о ходе реализации регионального проекта «Современная школа» в ГИИС «Электронный бюджет»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в рамках реализации федерального проекта «Успех каждого ребенка»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национального проекта «Образование»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и подготовка отчетов по реализации федерального проекта «Патриотическое воспитание граждан Российской Федерации» национального проекта «О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бразование»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Финансовое обеспечение национальных проектов в соответствии с Законом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областном бюджете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2022 и 2023 годов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Ежемесячное формирование предельного объема финансирования с применением информационной системы «Подсистема сбора и консолидации данных»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отчета по форме № 1-К «Сведения об осуществлении государственного контроля (надзора) и муниципального контроля» и направление в прокуратуру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1E13EA" w:rsidRDefault="008819B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формам федерального статистического 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аблюдения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1-лицензирование «Сведения об осуществлении лицензирования» и </w:t>
            </w:r>
            <w:hyperlink r:id="rId7" w:history="1">
              <w:r>
                <w:rPr>
                  <w:rStyle w:val="ae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№ 1-контроль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«Сведения об осуществлении гос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ударственного контроля (надзора)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муниципального контроля» и направление в Федеральную службу по надзору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сфере образования и науки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ежеквартальной, ежемесячной отчетности о численности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средней зарплате в 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14.01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реестра обращений граждан по фактам коррупции, поступивших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Министерство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IV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вартал 2020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о выполнении плана работы Министерства на декабрь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2020 года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достижению целевых показателей эффективности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осуществлению переданных полномочий и его направление в Федеральную службу по надзору в сфере образования и науки и в Министерство финансов Российской Федерации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отчетов по форме федерального статистического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наблюдения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1-ГМУ по государственным услугам «Подтверждение документов об образовании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(или) квалификации», «Подтверждение документов об ученых степенях, ученых званиях», «Лицензирование образовательной деятельности», «Государственная аккредитация образо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вательной деятельности»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 работе Министерства с обращениями граждан за 2020 год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t xml:space="preserve">Подготовка акта сверки по исполнительному производству с Управлением Федеральной 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t>службы судебных приставов по Свердловской области (согласно Соглашению от 29.07.2011 о порядке взаимодействия Управления Федеральной службы судебных приставов по Свердловской области и Министерства при исполнении исполнительных документов)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20.01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озкина,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0503324 «Отчет об использовании межбюджетных трансфертов» в Министерство финансов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21.01</w:t>
            </w:r>
          </w:p>
          <w:p w:rsidR="001E13EA" w:rsidRDefault="001E13EA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итогового отчета об исполнении распоряжения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от 18.03.2020 № 81-РП «О внесении изменений в распоряжение Правительства Свердловской области от 31.10.2018 № 664-рп «Об утверждении плана мероприятий на 2018-2020 годы, проводимых в Свердловской области в рамках Десятилетия детства»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23.01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Министерства о выполнении плана мероприятий Правительства Свердловской области по реализации Соглашения между Свердловским областным объединением организаций профсоюзов «Федерация профсоюзов Свердло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вской области», Региональным объединением работодателей «Свердловский областной Союз промышленников и предпринимателей» и Правительством Свердловской области на 2018–2020 годы в 2020 году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25.01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lastRenderedPageBreak/>
              <w:t xml:space="preserve">Подготовка 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t>отчета об осуществлении органом государственной власти субъекта Российской Федерации полномочий Российской Федерации в сфере образования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t>и полномочия по подтверждению документов об ученых степенях, ученых званиях, переданных для осуществления органам госуд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t>арственной власти субъектов Российской Федерации, утвержденного приказом Федеральной службы по надзору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  <w:lang w:eastAsia="en-US"/>
              </w:rPr>
              <w:t>в сфере образования и науки от 06.07.2016 № 1141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28.01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плана работы Министерства на февраль 2021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153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Создание отчета о ходе реализации регионального проекта «Современная школа»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информационной системе мониторинга национальных проектов «Демография», «Здравоохранение», «Образование»,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«Наука» в соответствии с поручением Заместителя Председателя Правительства Российской Федерации от 25.05.2020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ТГ-П6-5554 «О проектной деятельности»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форме федеральных статистических данных № 1 – молодежь «Сведе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ния о сфере государственной молодежной политики» в Федеральное агентство по делам молодежи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приказа Министерства «О внесении изменений в приказ Министерства образования и молодежной политики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15.07.2019 № 110-Д «Об утверждении форм отчетов о результатах деятельности государственных учреждений Свердловской области, подведомственных Министерству образования и молодежной политики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 использовании закрепленного 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 ними государственного имущества»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после принятия постановления Правительства Свердловской области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Свердловской области и практики его применения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Прядеин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Осуществление работы по внесению изменений в составы членов действующих наблюдательных советов государственных автономных профессиональных образовательных организаций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ведение правовой (антикоррупционной) экспертизы проектов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правовых актов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Стратегии развития образования на территории Свердловской области на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до 2035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Стратегии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социально-экономического развития Свердловской области на 2016–2030 годы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Внесение изменений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государственные задания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созданию в Свердловской области новых мест в общеобразовательных организациях (доля обучающихся, занимающихся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дневных муниципальных общеобразовательных организациях в первую смену; планы муниципальных образований, расположенных на территории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области, по созданию новых учебных мест)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Организационно-аналитическая деятельность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Подготовка информ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ации о выполнении мероприятий комплексной программы Свердловской области «Безопасность жизнедеятельности населения Свердловской области до 2020 года», утвержденной постановлением Правительства Свердловской области от 28.07.2017 № 556-ПП «Об утверждении ком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плексной программы Свердловской области «Безопасность жизнедеятельности населения Свердловской области до 2020 года», за 2020 год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санитарно-эпидемиологической безопасности образовательных организаций в Свердловс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кой области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профилактических мероприятий и об ограничительных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карантинных мероприятиях в образовательных организациях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детского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травматизма и чрезвычайных ситуаций в образовательном процессе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несчастных случаев, произошедших с обучающимися в организациях, осуществляющих образовательную деятельность, за 2020 год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ких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происшествий, произошедших в образовательных организациях, повлекших смерть несовершеннолетних обучающихся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о предоставлении мер социальной поддержки и иных социальных гарантий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обучающимся, педагогическим работникам и руководителям 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подготовите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льных мероприятий для оценки эффективности деятельности государственных учреждений Свердловской области, в отношении которых Министерство осуществляло функции и полномочия учредителя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мониторинга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выполнению государственными учреждениями Свердловской области, подведомственными Министерству, обязанности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размещению на официальном сайте в информационно-телекоммуникационной сети «Интернет» </w:t>
            </w:r>
            <w:hyperlink r:id="rId8" w:history="1">
              <w:r>
                <w:rPr>
                  <w:rStyle w:val="ae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ции об учреждении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Обеспечение проведения мероприятий по продолжению работы по применению единой социальной карты государственными учреждениями Свердловской области, подведомственными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Финансирование государственных учреждений Свердловской области, подведомственных Министерству, негосударственных организаций, частных образовательных организаций, некоммерческих организаций, не являющихся государственными и муниципальными учрежд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лицами в соответствии с договорами и государственными контрактами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ежемесячных отчетов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формам, утвержденным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дерации»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 25.03.2011 № 33н «Об утверждении Инструкции о порядке сост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авления, представления годовой, квартальной бухгалтерской отчетности государственных (муниципальных) бюджетных и автономных учреждений» 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годовой отчетности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администратора доходов федерального бюджета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2020 год в Федеральную службу по надзору в сфере образования и науки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годовой бюджетной и бухгалтерской отчетности за 2020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Внесение изменений в государственные задания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мере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плановых выездных (с использов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анием средств дистанционного взаимодействия, в том числе аудио- или видеосвязи)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документарных проверок по государственному контролю (надзору) в сфере образования и лицензионному контролю по планам, утвержденным приказами Министерства от 28.10.2020 № 251-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кн, № 252-кн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1E13EA" w:rsidRDefault="001E13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и 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государственному контролю (надзору) и лицензионному контролю на основании приказов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возкина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9. Контроль исполнения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от 19.10.2020 № 206-РГ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Аппарат Губернатора Свердловской области и Правительства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01.01,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05.01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22.03.2016 № 173-ПП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выдачи направлений для помещения детей, оставшихся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без попечения родителей, под надзор в организации для детей-сирот и детей, оставшихся без поп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детей, оставшихся без попечения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05.01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31.07.2020 № 148-РГ «Об итогах заседания Координационного совещания по обеспечению правопорядка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от 10 июня 2020 года по вопросу разработки комп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лекса мер, направленных на предупреждение и пресечение нарушений, выявляемых в ходе реализации региональных проектов»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М.Г. Корягин,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Г.З.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Полякова,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22.10.2020 768-ПП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комплекса мероприятий, направленных на восстановление численности занятого населения Свердловской области (до уровня 2019 года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) к IV кварталу 2021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28.07.2017 № 556-ПП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«Безопасность жизнедеятельности населения Свердловской обла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сти до 2020 года» </w:t>
            </w:r>
          </w:p>
          <w:p w:rsidR="001E13EA" w:rsidRDefault="001E13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07.01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lastRenderedPageBreak/>
              <w:t>Распоряжение Губернатора Свердловской области от 14.05.2020 № 90-РГ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«О представлении информационно-аналитических материалов в аппарат полномочного представителя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Президента Российской Федерации в Уральском федеральном округе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10.01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до 15.01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до 20.01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до 25.01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до 29.01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(срок – 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до 01.02)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О.В. Гущин,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О.В. Деникаева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С.В. 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Сокольская.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С.Г. Карсканов,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О.А. Силина,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Ю.Н. Зеленов.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А.Н. Шавалиев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Вяткин,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Г.З. Полякова,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О.А. Силина,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 Н. Шавалиев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(М.Г. Корягин,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Е.Н. Коваленко),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С.В.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О.В. Гущин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(М.А. Карабут),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С.Г. Карсканов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01.12.2011 № 354-РГ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представлении в Администрацию Губернатора Свердловской области информации по вопросам организации государственной гражданской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службы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06.08.2014 № 673-ПП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Плане мероприятий («дорожной карте») исполнительных органов государственной власти Свердловской области по реализации Указа През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идента Российской Федерации от 07 мая 2012 года № 596 «О долгосрочной государственной экономической политике» на период до 2020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10.01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Прядеин,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10.11.2015 № 1189-РП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сопровождении инвестиционных проектов, реализуемых и (или) планируемых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 реализации на территории Свердловской област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и, по принципу «одного окна»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22.09.2015 № 844-ПП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Плана мероприятий («дорожной карты») по повышению значений показателей доступности для инвалидов объектов и услуг в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ских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Распоряжение Правительства Свердловской области от 24.06.2019 № 297-РП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«Об утверждении плана мероприятий по оздоровлению государственных финансов Свердловской области на 2019–2021 годы»</w:t>
            </w:r>
          </w:p>
          <w:p w:rsidR="001E13EA" w:rsidRDefault="001E13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10.01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Распоряжение Губернатора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Свердловской области от 13.12.2017 № 275-РГ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«Об организации работы по проведению независимой оценки качества оказания услуг     организациями в сфере культуры, социального обслуживания, охраны здоровья                           и образования в Свердловско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Н.В. Журавлева,</w:t>
            </w:r>
          </w:p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Т.Н. Умнова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29.09.2015 844-ПП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Плана мероприятий («дорожной карты») по повышению значений показателей доступности для инвалидов объектов и услуг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до 11.01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30.05.2013 № 717-РП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взаимодействии исполнительных органов государственной 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ласти Свердловской области по реализации соглашений, заключенных в рамках проведения ежегодной  Уральской международной выставки и форума промышленности и инноваций «ИННОПРОМ»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области от 22.07.2015 № 788-РП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Плана мероприятий, направленных на обеспечение реализации положений Конвенции о правах инвалидов и повышение доступности объектов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услуг для инвалидов на территории Свердловской области, на 2015–2020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06.10.2017 234-РГ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комплексного плана мероприятий по обеспечению поэтапного доступа социально ориентированных некоммерческих организаций, осуществляющ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их деятельность в социальной сфере, к бюджетным средствам, выделяемым на предоставление социальных услуг населению, использованию различных форм поддержки деятельности социально ориентированных некоммерческих организаций Свердловской области на 2017–2020 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01.11.2019 № 595-РП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Плана мероприятий (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«дорожной карты») по повышению позиций Свердло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вской области в Национальном рейтинге состояния инвестиционного климата </w:t>
            </w:r>
          </w:p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в субъектах Российской Федерации на 2019–2020 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(Е.В. Коваленко),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Постановление Правительства Свердловской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области от 16.08.2018 № 533-ПП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«О мониторинге социально-экономического развития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не позднее 16.01</w:t>
            </w:r>
          </w:p>
          <w:p w:rsidR="001E13EA" w:rsidRDefault="001E13EA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  <w:p w:rsidR="001E13EA" w:rsidRDefault="001E13EA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И.А. Серкова,</w:t>
            </w:r>
          </w:p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О.А. Силина,</w:t>
            </w:r>
          </w:p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Н.А. Силиванова,</w:t>
            </w:r>
          </w:p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А.Н. Шавалиев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30.04.2014 № 337-ПП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осуществления ведомственного контроля в сфере закупок для обеспечения нужд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05.03.2014 № 147-ПП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реализации постановления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Правительства Российской Федерации от 23.12.2011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1114 «О 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образования и высшег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профессионального образования по очной форме обучения по основным профессиональным образовательным программам начального профессионального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среднего профессионального образования, имеющим государственную аккредитацию, соответствующим приоритетным направ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лениям модернизации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технологического развития экономики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дополнительных мерах по ограничению распространения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заболевания, вызываемого вирусом иммунодефицита человека (ВИЧ-инфекции), на территории Свердловской области на 2016–2020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17.03.2017 № 246-РП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реализации в Свердловской обл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асти в 2017–2025 годах Концепции устойчивого развития коренных малочисленных народов Севера, Сибири и Дальнего Востока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 20.01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12.08.2020 № 993-РП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программы «Комплексное развитие северных территорий Свердловской области» на 2014–2020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25.01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С.В. Блаженкова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от 31.05.2018 328-ПП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«Поддержка социально ориентированных некоммерческих организаций в Свердловской области на 2018–2024 годы»</w:t>
            </w:r>
          </w:p>
          <w:p w:rsidR="001E13EA" w:rsidRDefault="001E13EA">
            <w:pPr>
              <w:pStyle w:val="13"/>
              <w:ind w:firstLine="0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25.01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Блаженкова,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20.09.2018 № 556-РП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взаимодействия исполнительных органов государственной власти Свердловской области при привлечении средств феде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рального бюджета в областной бюджет»</w:t>
            </w:r>
          </w:p>
          <w:p w:rsidR="001E13EA" w:rsidRDefault="001E13EA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25.01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 Н.И. Сокольская,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Шавалиев.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11.02.2014 № 70-ПП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координации деятельности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сфере формирования доступной среды жизнедеятельности для инвалидов и других маломобильных групп населения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области»</w:t>
            </w:r>
          </w:p>
          <w:p w:rsidR="001E13EA" w:rsidRDefault="001E13EA">
            <w:pPr>
              <w:pStyle w:val="13"/>
              <w:ind w:firstLine="0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29.01</w:t>
            </w:r>
          </w:p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(срок – </w:t>
            </w:r>
          </w:p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01.02)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Н.И. Сокольская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29.10.2020 796-ПП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создании государственных автономных профессиональных образовательных учреждений Свердловской области путем изменения типа существующих государственных бюджетных профессиональных образ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овательных учреждений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30.01</w:t>
            </w:r>
          </w:p>
          <w:p w:rsidR="001E13EA" w:rsidRDefault="001E13EA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А.В. Прядеин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Указ Губернатора Свердловской области от 29.10.2019 № 524-УГ «О внедрении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мониторинге повышения оплаты труда работников государственных                                         и муниципальных учреждений Свердловской област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в соответствии с указами Президента Российской Федерации от 07 мая 2012 года  № 597 «О мероприятиях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государственной социальной политики», от 01 июня 2012 года № 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Национальной стратегии действий в интересах детей на 2012–2017 годы»  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          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10. Выезды в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муниципальные образования, расположенные на территории Свердловской области, образовательные учреждения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1E13E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hyperlink r:id="rId9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Невьянский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hyperlink r:id="rId10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Артемовский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 (с использованием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 Нижний Тагил (2 объекта), проведение плановой выездной проверки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hyperlink r:id="rId11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Сысертский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13.01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город Екатеринбург» (1 объект),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hyperlink r:id="rId12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Верхотурский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(3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бъекта),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14.01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Нижнесергинский муниципальный район (4 объекта), проведение плановой выездной проверки (с использованием средств дистанционного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hyperlink r:id="rId13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Полевской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14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Первоуральск (3 объекта),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 (с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Каменск-Уральский городской округ (1 объект),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Горноуральский городской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округ, День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Василова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Каменск-Уральский городской округ (1 объект),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Красноуфимский муниципальный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район (1 объект),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Камышловский муниципальный район (6 объектов), проведение плановой выездной проверки (с использованием средств дистанционного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21–22.01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(2 объекта),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21–22.01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hyperlink r:id="rId15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Асбестовский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Каменск-Уральский городск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округ (1 объект),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hyperlink r:id="rId16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Сысертский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(1 объект), прове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дение плановой выездной проверки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Муниципальное образование «город Екатеринбург» (1 объект), проведение плановой выездной проверки (с использованием средств дистанционного взаимодейс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Камышловский муниципальный район (2 объекта),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hyperlink r:id="rId17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Асбестовский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(2 объекта),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Красноуфимский муниципаль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ный район (2 объекта),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Артинский городской округ (2 объекта), проведение плановой выездной проверки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(с использованием средств дистанционного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Ачитский городской округ (1 объект), проведение плановой выездной проверки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Каменск-Уральский городской округ (1 объект), проведение плановой выездн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Малышевский городской округ (1 объект) проведение плановой выездной проверки (с использованием средств дистанционного взаимодействия)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29.01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1E13E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Участие в работе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наблюдательных советов государственных автономных профессиональных образовательных организаций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1E13EA" w:rsidRDefault="008819B5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</w:tbl>
    <w:p w:rsidR="001E13EA" w:rsidRDefault="001E13EA">
      <w:pPr>
        <w:rPr>
          <w:rFonts w:ascii="Liberation Serif" w:hAnsi="Liberation Serif" w:cs="Liberation Serif"/>
          <w:sz w:val="28"/>
          <w:szCs w:val="28"/>
        </w:rPr>
      </w:pPr>
    </w:p>
    <w:sectPr w:rsidR="001E13EA">
      <w:headerReference w:type="default" r:id="rId18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B5" w:rsidRDefault="008819B5">
      <w:r>
        <w:separator/>
      </w:r>
    </w:p>
  </w:endnote>
  <w:endnote w:type="continuationSeparator" w:id="0">
    <w:p w:rsidR="008819B5" w:rsidRDefault="00881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B5" w:rsidRDefault="008819B5">
      <w:r>
        <w:rPr>
          <w:color w:val="000000"/>
        </w:rPr>
        <w:separator/>
      </w:r>
    </w:p>
  </w:footnote>
  <w:footnote w:type="continuationSeparator" w:id="0">
    <w:p w:rsidR="008819B5" w:rsidRDefault="00881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F75" w:rsidRDefault="008819B5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B21140">
      <w:rPr>
        <w:rFonts w:ascii="Liberation Serif" w:hAnsi="Liberation Serif"/>
        <w:noProof/>
        <w:sz w:val="28"/>
        <w:szCs w:val="28"/>
      </w:rPr>
      <w:t>25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E13EA"/>
    <w:rsid w:val="001E13EA"/>
    <w:rsid w:val="008819B5"/>
    <w:rsid w:val="00B21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" TargetMode="External"/><Relationship Id="rId13" Type="http://schemas.openxmlformats.org/officeDocument/2006/relationships/hyperlink" Target="http://www.midural.ru/100034/100089/mu_leaders/document2330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server-unk\&#1054;&#1073;&#1084;&#1077;&#1085;%20&#1059;&#1053;&#1050;\2020%20-%20&#1055;&#1051;&#1040;&#1053;%20&#1056;&#1040;&#1041;&#1054;&#1058;&#1067;\&#1055;&#1088;&#1080;&#1082;&#1072;&#1079;+&#1086;&#1073;+&#1091;&#1090;&#1074;&#1077;&#1088;&#1078;&#1076;&#1077;&#1085;&#1080;&#1080;+&#1087;&#1083;&#1072;&#1085;&#1072;%20&#1052;&#1048;&#1053;&#1048;&#1057;&#1058;&#1045;&#1056;&#1057;&#1058;&#1042;&#1040;%20+&#1085;&#1072;+2020+&#1075;&#1086;&#1076;.doc#sub_1000" TargetMode="External"/><Relationship Id="rId12" Type="http://schemas.openxmlformats.org/officeDocument/2006/relationships/hyperlink" Target="http://www.midural.ru/100034/100089/mu_leaders/document2330/" TargetMode="External"/><Relationship Id="rId17" Type="http://schemas.openxmlformats.org/officeDocument/2006/relationships/hyperlink" Target="http://www.midural.ru/100034/100089/mu_leaders/document2330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midural.ru/100034/100089/mu_leaders/document2330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idural.ru/100034/100089/mu_leaders/document2330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dural.ru/100034/100089/mu_leaders/document2330/" TargetMode="External"/><Relationship Id="rId10" Type="http://schemas.openxmlformats.org/officeDocument/2006/relationships/hyperlink" Target="http://www.midural.ru/100034/100089/mu_leaders/document2330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dural.ru/100034/100089/mu_leaders/document2330/" TargetMode="External"/><Relationship Id="rId14" Type="http://schemas.openxmlformats.org/officeDocument/2006/relationships/hyperlink" Target="http://www.midural.ru/100034/100089/mu_leaders/document2330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8113</Words>
  <Characters>46246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/>
  <LinksUpToDate>false</LinksUpToDate>
  <CharactersWithSpaces>54251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creator>user</dc:creator>
  <cp:lastModifiedBy>Sergey</cp:lastModifiedBy>
  <cp:revision>2</cp:revision>
  <cp:lastPrinted>2020-12-02T09:28:00Z</cp:lastPrinted>
  <dcterms:created xsi:type="dcterms:W3CDTF">2021-08-16T15:21:00Z</dcterms:created>
  <dcterms:modified xsi:type="dcterms:W3CDTF">2021-08-16T15:21:00Z</dcterms:modified>
</cp:coreProperties>
</file>